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1295E">
      <w:pPr>
        <w:pStyle w:val="6"/>
        <w:pageBreakBefore w:val="0"/>
        <w:widowControl w:val="0"/>
        <w:kinsoku/>
        <w:wordWrap/>
        <w:overflowPunct/>
        <w:topLinePunct w:val="0"/>
        <w:autoSpaceDE/>
        <w:autoSpaceDN/>
        <w:bidi w:val="0"/>
        <w:adjustRightInd/>
        <w:snapToGrid/>
        <w:spacing w:before="120" w:beforeLines="0" w:after="120" w:afterLines="0"/>
        <w:textAlignment w:val="auto"/>
        <w:rPr>
          <w:rFonts w:hint="eastAsia"/>
          <w:lang w:val="en-US" w:eastAsia="zh-CN"/>
        </w:rPr>
      </w:pPr>
      <w:r>
        <w:rPr>
          <w:rFonts w:hint="eastAsia"/>
          <w:lang w:val="en-US" w:eastAsia="zh-CN"/>
        </w:rPr>
        <w:t>Editor Comments:</w:t>
      </w:r>
    </w:p>
    <w:p w14:paraId="17B85714">
      <w:pPr>
        <w:keepNext w:val="0"/>
        <w:keepLines w:val="0"/>
        <w:pageBreakBefore w:val="0"/>
        <w:widowControl w:val="0"/>
        <w:numPr>
          <w:ilvl w:val="0"/>
          <w:numId w:val="0"/>
        </w:numPr>
        <w:kinsoku/>
        <w:wordWrap/>
        <w:overflowPunct/>
        <w:topLinePunct w:val="0"/>
        <w:autoSpaceDE/>
        <w:autoSpaceDN/>
        <w:bidi w:val="0"/>
        <w:adjustRightInd/>
        <w:snapToGrid/>
        <w:spacing w:before="120" w:after="120"/>
        <w:ind w:firstLine="420" w:firstLineChars="0"/>
        <w:textAlignment w:val="auto"/>
        <w:rPr>
          <w:rFonts w:hint="eastAsia"/>
          <w:lang w:val="en-US" w:eastAsia="zh-CN"/>
        </w:rPr>
      </w:pPr>
      <w:r>
        <w:rPr>
          <w:rFonts w:hint="eastAsia"/>
          <w:lang w:val="en-US" w:eastAsia="zh-CN"/>
        </w:rPr>
        <w:t>1. Original figures and tables: Please prepare and upload the original image files (in high resolution, preferably TIFF or JPEG format) and table data (in DOC or DOCX format) as supplementary materials.</w:t>
      </w:r>
    </w:p>
    <w:p w14:paraId="751EAC56">
      <w:pPr>
        <w:keepNext w:val="0"/>
        <w:keepLines w:val="0"/>
        <w:pageBreakBefore w:val="0"/>
        <w:widowControl w:val="0"/>
        <w:numPr>
          <w:ilvl w:val="0"/>
          <w:numId w:val="0"/>
        </w:numPr>
        <w:kinsoku/>
        <w:wordWrap/>
        <w:overflowPunct/>
        <w:topLinePunct w:val="0"/>
        <w:autoSpaceDE/>
        <w:autoSpaceDN/>
        <w:bidi w:val="0"/>
        <w:adjustRightInd/>
        <w:snapToGrid/>
        <w:spacing w:before="120" w:after="120"/>
        <w:ind w:left="0" w:leftChars="0" w:firstLine="400" w:firstLineChars="0"/>
        <w:textAlignment w:val="auto"/>
        <w:rPr>
          <w:rFonts w:hint="eastAsia"/>
          <w:lang w:val="en-US" w:eastAsia="zh-CN"/>
        </w:rPr>
      </w:pPr>
      <w:r>
        <w:rPr>
          <w:rFonts w:hint="eastAsia" w:ascii="Times New Roman" w:hAnsi="Times New Roman" w:eastAsia="宋体" w:cs="宋体"/>
          <w:kern w:val="2"/>
          <w:sz w:val="24"/>
          <w:szCs w:val="24"/>
          <w:lang w:val="en-US" w:eastAsia="zh-CN" w:bidi="ar-SA"/>
        </w:rPr>
        <w:t>2.</w:t>
      </w:r>
      <w:r>
        <w:rPr>
          <w:rFonts w:hint="eastAsia" w:cs="宋体"/>
          <w:kern w:val="2"/>
          <w:sz w:val="24"/>
          <w:szCs w:val="24"/>
          <w:lang w:val="en-US" w:eastAsia="zh-CN" w:bidi="ar-SA"/>
        </w:rPr>
        <w:t xml:space="preserve"> </w:t>
      </w:r>
      <w:r>
        <w:rPr>
          <w:rFonts w:hint="eastAsia"/>
          <w:lang w:val="en-US" w:eastAsia="zh-CN"/>
        </w:rPr>
        <w:t xml:space="preserve">Please confirm that the figures are original. If citing other papers, please upload the figure copyright. </w:t>
      </w:r>
    </w:p>
    <w:p w14:paraId="44D9227D">
      <w:pPr>
        <w:keepNext w:val="0"/>
        <w:keepLines w:val="0"/>
        <w:pageBreakBefore w:val="0"/>
        <w:widowControl w:val="0"/>
        <w:numPr>
          <w:ilvl w:val="0"/>
          <w:numId w:val="0"/>
        </w:numPr>
        <w:kinsoku/>
        <w:wordWrap/>
        <w:overflowPunct/>
        <w:topLinePunct w:val="0"/>
        <w:autoSpaceDE/>
        <w:autoSpaceDN/>
        <w:bidi w:val="0"/>
        <w:adjustRightInd/>
        <w:snapToGrid/>
        <w:spacing w:before="120" w:after="120"/>
        <w:ind w:left="0" w:leftChars="0" w:firstLine="400" w:firstLineChars="0"/>
        <w:textAlignment w:val="auto"/>
        <w:rPr>
          <w:rFonts w:hint="eastAsia"/>
          <w:lang w:val="en-US" w:eastAsia="zh-CN"/>
        </w:rPr>
      </w:pPr>
      <w:r>
        <w:rPr>
          <w:rFonts w:hint="eastAsia" w:ascii="Times New Roman" w:hAnsi="Times New Roman" w:eastAsia="宋体" w:cs="宋体"/>
          <w:kern w:val="2"/>
          <w:sz w:val="24"/>
          <w:szCs w:val="24"/>
          <w:lang w:val="en-US" w:eastAsia="zh-CN" w:bidi="ar-SA"/>
        </w:rPr>
        <w:t>3.</w:t>
      </w:r>
      <w:r>
        <w:rPr>
          <w:rFonts w:hint="eastAsia" w:cs="宋体"/>
          <w:kern w:val="2"/>
          <w:sz w:val="24"/>
          <w:szCs w:val="24"/>
          <w:lang w:val="en-US" w:eastAsia="zh-CN" w:bidi="ar-SA"/>
        </w:rPr>
        <w:t xml:space="preserve"> </w:t>
      </w:r>
      <w:r>
        <w:rPr>
          <w:rFonts w:hint="eastAsia"/>
          <w:lang w:val="en-US" w:eastAsia="zh-CN"/>
        </w:rPr>
        <w:t>Proofreading: Conduct a meticulous review of the manuscript for grammatical and spelling accuracy. Consider using advanced software tools or seeking assistance from a language editor if needed.</w:t>
      </w:r>
    </w:p>
    <w:p w14:paraId="0FE20020">
      <w:pPr>
        <w:keepNext w:val="0"/>
        <w:keepLines w:val="0"/>
        <w:pageBreakBefore w:val="0"/>
        <w:widowControl w:val="0"/>
        <w:numPr>
          <w:ilvl w:val="0"/>
          <w:numId w:val="0"/>
        </w:numPr>
        <w:kinsoku/>
        <w:wordWrap/>
        <w:overflowPunct/>
        <w:topLinePunct w:val="0"/>
        <w:autoSpaceDE/>
        <w:autoSpaceDN/>
        <w:bidi w:val="0"/>
        <w:adjustRightInd/>
        <w:snapToGrid/>
        <w:spacing w:before="120" w:after="120"/>
        <w:ind w:left="0" w:leftChars="0" w:firstLine="400" w:firstLineChars="0"/>
        <w:textAlignment w:val="auto"/>
        <w:rPr>
          <w:rFonts w:hint="eastAsia"/>
          <w:lang w:val="en-US" w:eastAsia="zh-CN"/>
        </w:rPr>
      </w:pPr>
      <w:r>
        <w:rPr>
          <w:rFonts w:hint="eastAsia" w:ascii="Times New Roman" w:hAnsi="Times New Roman" w:eastAsia="宋体" w:cs="宋体"/>
          <w:kern w:val="2"/>
          <w:sz w:val="24"/>
          <w:szCs w:val="24"/>
          <w:lang w:val="en-US" w:eastAsia="zh-CN" w:bidi="ar-SA"/>
        </w:rPr>
        <w:t>4.</w:t>
      </w:r>
      <w:r>
        <w:rPr>
          <w:rFonts w:hint="eastAsia" w:cs="宋体"/>
          <w:kern w:val="2"/>
          <w:sz w:val="24"/>
          <w:szCs w:val="24"/>
          <w:lang w:val="en-US" w:eastAsia="zh-CN" w:bidi="ar-SA"/>
        </w:rPr>
        <w:t xml:space="preserve"> </w:t>
      </w:r>
      <w:r>
        <w:rPr>
          <w:rFonts w:hint="eastAsia"/>
          <w:lang w:val="en-US" w:eastAsia="zh-CN"/>
        </w:rPr>
        <w:t>Reference: Carefully examine the references for duplicates and ensure each entry adheres to the journal's citation style guide. Verify and complete all required bibliographic information, particularly the DOI, issue number, volume number, and pagination</w:t>
      </w:r>
      <w:r>
        <w:rPr>
          <w:rFonts w:hint="default"/>
          <w:lang w:val="en-AU" w:eastAsia="zh-CN"/>
        </w:rPr>
        <w:t>.</w:t>
      </w:r>
    </w:p>
    <w:p w14:paraId="5183E313">
      <w:pPr>
        <w:keepNext w:val="0"/>
        <w:keepLines w:val="0"/>
        <w:pageBreakBefore w:val="0"/>
        <w:widowControl w:val="0"/>
        <w:kinsoku/>
        <w:wordWrap/>
        <w:overflowPunct/>
        <w:topLinePunct w:val="0"/>
        <w:autoSpaceDE/>
        <w:autoSpaceDN/>
        <w:bidi w:val="0"/>
        <w:adjustRightInd/>
        <w:snapToGrid/>
        <w:spacing w:before="120" w:after="120"/>
        <w:textAlignment w:val="auto"/>
        <w:rPr>
          <w:rFonts w:hint="eastAsia"/>
          <w:lang w:val="en-US" w:eastAsia="zh-CN"/>
        </w:rPr>
      </w:pPr>
      <w:r>
        <w:rPr>
          <w:rFonts w:hint="eastAsia"/>
          <w:lang w:val="en-US" w:eastAsia="zh-CN"/>
        </w:rPr>
        <w:t>For instance:</w:t>
      </w:r>
    </w:p>
    <w:p w14:paraId="0199AA97">
      <w:pPr>
        <w:keepNext w:val="0"/>
        <w:keepLines w:val="0"/>
        <w:pageBreakBefore w:val="0"/>
        <w:widowControl w:val="0"/>
        <w:kinsoku/>
        <w:wordWrap/>
        <w:overflowPunct/>
        <w:topLinePunct w:val="0"/>
        <w:autoSpaceDE/>
        <w:autoSpaceDN/>
        <w:bidi w:val="0"/>
        <w:adjustRightInd/>
        <w:snapToGrid/>
        <w:spacing w:before="120" w:after="120"/>
        <w:textAlignment w:val="auto"/>
        <w:rPr>
          <w:rFonts w:hint="eastAsia"/>
          <w:lang w:val="en-US" w:eastAsia="zh-CN"/>
        </w:rPr>
      </w:pPr>
      <w:r>
        <w:rPr>
          <w:rFonts w:hint="eastAsia"/>
          <w:lang w:val="en-US" w:eastAsia="zh-CN"/>
        </w:rPr>
        <w:t>[1] Prajapati SK, Kar M, Maurya SD, Pandey R, Dhakar RC. Exploring phytochemicals and pharmacological uses of Cordia Dichotoma (Indian cherry): a review. Journal of Drug Delivery and Therapeutics, 2017, 7(6), 125-131. DOI: 10.22270/jddt.v7i6.1438</w:t>
      </w:r>
    </w:p>
    <w:p w14:paraId="1730682A">
      <w:pPr>
        <w:keepNext w:val="0"/>
        <w:keepLines w:val="0"/>
        <w:pageBreakBefore w:val="0"/>
        <w:widowControl w:val="0"/>
        <w:kinsoku/>
        <w:wordWrap/>
        <w:overflowPunct/>
        <w:topLinePunct w:val="0"/>
        <w:autoSpaceDE/>
        <w:autoSpaceDN/>
        <w:bidi w:val="0"/>
        <w:adjustRightInd/>
        <w:snapToGrid/>
        <w:spacing w:before="120" w:after="120"/>
        <w:textAlignment w:val="auto"/>
        <w:rPr>
          <w:rFonts w:hint="eastAsia"/>
          <w:lang w:val="en-US" w:eastAsia="zh-CN"/>
        </w:rPr>
      </w:pPr>
      <w:r>
        <w:rPr>
          <w:rFonts w:hint="eastAsia"/>
          <w:lang w:val="en-US" w:eastAsia="zh-CN"/>
        </w:rPr>
        <w:t>[2] Knez Hrnčič M, Ivanovski M, Cör D, Knez Ž. Chia Seeds (Salvia hispanica L.): an overview__phytochemical profile, isolation methods, and application. Molecules, 2019, 25(1), 11. DOI: 10.3390/molecules25010011</w:t>
      </w:r>
    </w:p>
    <w:p w14:paraId="072F049C">
      <w:pPr>
        <w:keepNext w:val="0"/>
        <w:keepLines w:val="0"/>
        <w:pageBreakBefore w:val="0"/>
        <w:widowControl w:val="0"/>
        <w:kinsoku/>
        <w:wordWrap/>
        <w:overflowPunct/>
        <w:topLinePunct w:val="0"/>
        <w:autoSpaceDE/>
        <w:autoSpaceDN/>
        <w:bidi w:val="0"/>
        <w:adjustRightInd/>
        <w:snapToGrid/>
        <w:spacing w:before="120" w:after="120"/>
        <w:textAlignment w:val="auto"/>
        <w:rPr>
          <w:rFonts w:hint="eastAsia"/>
          <w:lang w:val="en-US" w:eastAsia="zh-CN"/>
        </w:rPr>
      </w:pPr>
      <w:r>
        <w:rPr>
          <w:rFonts w:hint="eastAsia"/>
          <w:lang w:val="en-US" w:eastAsia="zh-CN"/>
        </w:rPr>
        <w:t>[3] Xu K, Zhou C, Huang F, Duan N, Wang Y, et al. Relationship between dietary factors and recurrent aphthous stomatitis in China: a cross-sectional s</w:t>
      </w:r>
      <w:bookmarkStart w:id="0" w:name="_GoBack"/>
      <w:bookmarkEnd w:id="0"/>
      <w:r>
        <w:rPr>
          <w:rFonts w:hint="eastAsia"/>
          <w:lang w:val="en-US" w:eastAsia="zh-CN"/>
        </w:rPr>
        <w:t>tudy. Journal of International Medical Research, 2021, 49(5), 03000605211017724. DOI: 10.1177/03000605211017724</w:t>
      </w:r>
    </w:p>
    <w:p w14:paraId="0DAA7BAC">
      <w:pPr>
        <w:keepNext w:val="0"/>
        <w:keepLines w:val="0"/>
        <w:pageBreakBefore w:val="0"/>
        <w:widowControl w:val="0"/>
        <w:kinsoku/>
        <w:wordWrap/>
        <w:overflowPunct/>
        <w:topLinePunct w:val="0"/>
        <w:autoSpaceDE/>
        <w:autoSpaceDN/>
        <w:bidi w:val="0"/>
        <w:adjustRightInd/>
        <w:snapToGrid/>
        <w:spacing w:before="120" w:after="120"/>
        <w:ind w:firstLine="420" w:firstLineChars="0"/>
        <w:textAlignment w:val="auto"/>
        <w:rPr>
          <w:rFonts w:hint="eastAsia"/>
          <w:lang w:val="en-US" w:eastAsia="zh-CN"/>
        </w:rPr>
      </w:pPr>
      <w:r>
        <w:rPr>
          <w:rFonts w:hint="eastAsia"/>
          <w:lang w:val="en-US" w:eastAsia="zh-CN"/>
        </w:rPr>
        <w:t xml:space="preserve">5. Generative AI statement: Our journal explicitly prohibits the use of any generative artificial intelligence (Gen AI) tools in the creation of the manuscript. </w:t>
      </w:r>
    </w:p>
    <w:p w14:paraId="6D230177">
      <w:pPr>
        <w:keepNext w:val="0"/>
        <w:keepLines w:val="0"/>
        <w:pageBreakBefore w:val="0"/>
        <w:widowControl w:val="0"/>
        <w:kinsoku/>
        <w:wordWrap/>
        <w:overflowPunct/>
        <w:topLinePunct w:val="0"/>
        <w:autoSpaceDE/>
        <w:autoSpaceDN/>
        <w:bidi w:val="0"/>
        <w:adjustRightInd/>
        <w:snapToGrid/>
        <w:spacing w:before="120" w:after="120"/>
        <w:ind w:firstLine="420" w:firstLineChars="0"/>
        <w:textAlignment w:val="auto"/>
        <w:rPr>
          <w:rFonts w:hint="eastAsia"/>
          <w:lang w:val="en-US" w:eastAsia="zh-CN"/>
        </w:rPr>
      </w:pPr>
      <w:r>
        <w:rPr>
          <w:rFonts w:hint="eastAsia"/>
          <w:lang w:val="en-US" w:eastAsia="zh-CN"/>
        </w:rPr>
        <w:t>Please confirm whether you used artificial intelligence technology during the process of completing this manuscript. If not, please attach the following statement:</w:t>
      </w:r>
    </w:p>
    <w:p w14:paraId="3A60D7D8">
      <w:pPr>
        <w:keepNext w:val="0"/>
        <w:keepLines w:val="0"/>
        <w:pageBreakBefore w:val="0"/>
        <w:widowControl w:val="0"/>
        <w:kinsoku/>
        <w:wordWrap/>
        <w:overflowPunct/>
        <w:topLinePunct w:val="0"/>
        <w:autoSpaceDE/>
        <w:autoSpaceDN/>
        <w:bidi w:val="0"/>
        <w:adjustRightInd/>
        <w:snapToGrid/>
        <w:spacing w:before="120" w:after="120"/>
        <w:ind w:firstLine="420" w:firstLineChars="0"/>
        <w:textAlignment w:val="auto"/>
        <w:rPr>
          <w:rFonts w:hint="eastAsia"/>
          <w:lang w:val="en-US" w:eastAsia="zh-CN"/>
        </w:rPr>
      </w:pPr>
      <w:r>
        <w:rPr>
          <w:rFonts w:hint="eastAsia"/>
          <w:lang w:val="en-US" w:eastAsia="zh-CN"/>
        </w:rPr>
        <w:t>Generative AI statement</w:t>
      </w:r>
    </w:p>
    <w:p w14:paraId="11833310">
      <w:pPr>
        <w:keepNext w:val="0"/>
        <w:keepLines w:val="0"/>
        <w:pageBreakBefore w:val="0"/>
        <w:widowControl w:val="0"/>
        <w:kinsoku/>
        <w:wordWrap/>
        <w:overflowPunct/>
        <w:topLinePunct w:val="0"/>
        <w:autoSpaceDE/>
        <w:autoSpaceDN/>
        <w:bidi w:val="0"/>
        <w:adjustRightInd/>
        <w:snapToGrid/>
        <w:spacing w:before="120" w:after="120"/>
        <w:ind w:firstLine="420" w:firstLineChars="0"/>
        <w:textAlignment w:val="auto"/>
        <w:rPr>
          <w:rFonts w:hint="eastAsia"/>
          <w:lang w:val="en-US" w:eastAsia="zh-CN"/>
        </w:rPr>
      </w:pPr>
      <w:r>
        <w:rPr>
          <w:rFonts w:hint="eastAsia"/>
          <w:lang w:val="en-US" w:eastAsia="zh-CN"/>
        </w:rPr>
        <w:t>The authors declare that no Gen AI was used in the creation of this manuscript.</w:t>
      </w:r>
    </w:p>
    <w:p w14:paraId="6B7EED56">
      <w:pPr>
        <w:keepNext w:val="0"/>
        <w:keepLines w:val="0"/>
        <w:pageBreakBefore w:val="0"/>
        <w:widowControl w:val="0"/>
        <w:numPr>
          <w:ilvl w:val="0"/>
          <w:numId w:val="1"/>
        </w:numPr>
        <w:kinsoku/>
        <w:wordWrap/>
        <w:overflowPunct/>
        <w:topLinePunct w:val="0"/>
        <w:autoSpaceDE/>
        <w:autoSpaceDN/>
        <w:bidi w:val="0"/>
        <w:adjustRightInd/>
        <w:snapToGrid/>
        <w:spacing w:before="120" w:after="120"/>
        <w:ind w:left="0" w:leftChars="0" w:firstLine="400" w:firstLineChars="0"/>
        <w:textAlignment w:val="auto"/>
        <w:rPr>
          <w:rFonts w:hint="eastAsia"/>
          <w:lang w:val="en-US" w:eastAsia="zh-CN"/>
        </w:rPr>
      </w:pPr>
      <w:r>
        <w:rPr>
          <w:rFonts w:hint="eastAsia"/>
          <w:lang w:val="en-US" w:eastAsia="zh-CN"/>
        </w:rPr>
        <w:t>Revision Documentation: Prepare a detailed response document that lists each reviewer comment followed by your specific actions taken to address it. Within the manuscript, utilize the highlighting or track changes feature to denote all modifications clearly. This will greatly assist in the review of your revised submission.</w:t>
      </w:r>
    </w:p>
    <w:p w14:paraId="4F9439F1">
      <w:pPr>
        <w:keepNext w:val="0"/>
        <w:keepLines w:val="0"/>
        <w:pageBreakBefore w:val="0"/>
        <w:widowControl w:val="0"/>
        <w:numPr>
          <w:ilvl w:val="0"/>
          <w:numId w:val="1"/>
        </w:numPr>
        <w:kinsoku/>
        <w:wordWrap/>
        <w:overflowPunct/>
        <w:topLinePunct w:val="0"/>
        <w:autoSpaceDE/>
        <w:autoSpaceDN/>
        <w:bidi w:val="0"/>
        <w:adjustRightInd/>
        <w:snapToGrid/>
        <w:spacing w:before="120" w:after="120"/>
        <w:ind w:left="0" w:leftChars="0" w:firstLine="400" w:firstLineChars="0"/>
        <w:textAlignment w:val="auto"/>
        <w:rPr>
          <w:rFonts w:hint="eastAsia"/>
          <w:lang w:val="en-US" w:eastAsia="zh-CN"/>
        </w:rPr>
      </w:pPr>
      <w:r>
        <w:rPr>
          <w:rFonts w:hint="eastAsia"/>
          <w:lang w:val="en-US" w:eastAsia="zh-CN"/>
        </w:rPr>
        <w:t>By adhering to these guidelines, you will contribute to a timely and efficient revision process, ultimately enhancing the quality and impact of your research publication. We look forward to receiving your revised manuscript.</w:t>
      </w:r>
    </w:p>
    <w:p w14:paraId="36E863E7">
      <w:pPr>
        <w:keepNext w:val="0"/>
        <w:keepLines w:val="0"/>
        <w:pageBreakBefore w:val="0"/>
        <w:widowControl w:val="0"/>
        <w:numPr>
          <w:ilvl w:val="0"/>
          <w:numId w:val="0"/>
        </w:numPr>
        <w:kinsoku/>
        <w:wordWrap/>
        <w:overflowPunct/>
        <w:topLinePunct w:val="0"/>
        <w:autoSpaceDE/>
        <w:autoSpaceDN/>
        <w:bidi w:val="0"/>
        <w:adjustRightInd/>
        <w:snapToGrid/>
        <w:spacing w:before="120" w:after="120"/>
        <w:ind w:left="400" w:leftChars="0"/>
        <w:textAlignment w:val="auto"/>
        <w:rPr>
          <w:rFonts w:hint="eastAsia"/>
          <w:lang w:val="en-US" w:eastAsia="zh-CN"/>
        </w:rPr>
      </w:pPr>
    </w:p>
    <w:p w14:paraId="670B8255">
      <w:pPr>
        <w:pStyle w:val="6"/>
        <w:pageBreakBefore w:val="0"/>
        <w:widowControl w:val="0"/>
        <w:kinsoku/>
        <w:wordWrap/>
        <w:overflowPunct/>
        <w:topLinePunct w:val="0"/>
        <w:autoSpaceDE/>
        <w:autoSpaceDN/>
        <w:bidi w:val="0"/>
        <w:adjustRightInd/>
        <w:snapToGrid/>
        <w:spacing w:before="120" w:beforeLines="0" w:after="120" w:afterLines="0"/>
        <w:textAlignment w:val="auto"/>
        <w:rPr>
          <w:rFonts w:hint="eastAsia"/>
          <w:lang w:val="en-US" w:eastAsia="zh-CN"/>
        </w:rPr>
      </w:pPr>
      <w:r>
        <w:rPr>
          <w:rFonts w:hint="eastAsia"/>
          <w:lang w:val="en-US" w:eastAsia="zh-CN"/>
        </w:rPr>
        <w:t>Reviewer's Comments A:</w:t>
      </w:r>
    </w:p>
    <w:p w14:paraId="3929F71A">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The manuscript presents a relevant and timely study in green nanotechnology, specifically the biosynthesis and biological evaluation of silver nanoparticles (AgNPs) using Vernonia anthelmintica extract. The experimental design is fairly solid, and the characterization is adequate, including UV-Vis, FTIR, SEM, EDX, and XRD analyses.</w:t>
      </w:r>
    </w:p>
    <w:p w14:paraId="3779D72F">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p>
    <w:p w14:paraId="4179B8EA">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1.Numerous grammatical issues affect readability. The text often lacks clarity, especially in the Results &amp; Discussion section.</w:t>
      </w:r>
    </w:p>
    <w:p w14:paraId="4E00E2F4">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2.Ensure all figures are embedded, high-resolution, and clearly labeled. Tables should be clean, titled, and numbered appropriately.</w:t>
      </w:r>
    </w:p>
    <w:p w14:paraId="2779629E">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3.“anthelmintica” is inconsistently italicized botanical names should be italicized throughout.</w:t>
      </w:r>
    </w:p>
    <w:p w14:paraId="416B3876">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4.“Antioxident” correct spelling is “antioxidant”</w:t>
      </w:r>
    </w:p>
    <w:p w14:paraId="5A407CFC">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5.Units like “ppm,” “nm,” “nmol” need a non-breaking space from the value (e.g., “20 ppm,” not “20ppm”).</w:t>
      </w:r>
    </w:p>
    <w:p w14:paraId="67F0D333">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6.SEM shows ~21 nm, while XRD gives ~49 nm. Authors must explain this discrepancy (e.g., XRD estimates crystallite size, while SEM shows particle agglomerates).</w:t>
      </w:r>
    </w:p>
    <w:p w14:paraId="43E9E146">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7.“% DPPH radical scavenging of” redundant phrasing. Should be simplified.</w:t>
      </w:r>
    </w:p>
    <w:p w14:paraId="1AC25A7C">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8.Needs a final sentence on future applications or research directions.</w:t>
      </w:r>
    </w:p>
    <w:p w14:paraId="3CCD3C40">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9.Most references are cited well, but some are incomplete or outdated.</w:t>
      </w:r>
    </w:p>
    <w:p w14:paraId="57722570">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10.Overuse of passive voice and redundancy.</w:t>
      </w:r>
    </w:p>
    <w:p w14:paraId="0A2B52D4">
      <w:pPr>
        <w:pStyle w:val="6"/>
        <w:pageBreakBefore w:val="0"/>
        <w:widowControl w:val="0"/>
        <w:kinsoku/>
        <w:wordWrap/>
        <w:overflowPunct/>
        <w:topLinePunct w:val="0"/>
        <w:autoSpaceDE/>
        <w:autoSpaceDN/>
        <w:bidi w:val="0"/>
        <w:adjustRightInd/>
        <w:snapToGrid/>
        <w:spacing w:before="120" w:beforeLines="0" w:after="120" w:afterLines="0"/>
        <w:textAlignment w:val="auto"/>
        <w:rPr>
          <w:rFonts w:hint="eastAsia"/>
          <w:lang w:val="en-US" w:eastAsia="zh-CN"/>
        </w:rPr>
      </w:pPr>
      <w:r>
        <w:rPr>
          <w:rFonts w:hint="eastAsia"/>
          <w:lang w:val="en-US" w:eastAsia="zh-CN"/>
        </w:rPr>
        <w:t>Reviewer's Comments B:</w:t>
      </w:r>
    </w:p>
    <w:p w14:paraId="5D9748E3">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The manuscript presents a well-structured study on the green synthesis of silver nanoparticles (AgNPs) using Vernonia anthelmintica extract, demonstrating promising antimicrobial and antioxidant activities. However, several revisions are needed to strengthen the scientific rigor and clarity.</w:t>
      </w:r>
    </w:p>
    <w:p w14:paraId="5DB09F6B">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p>
    <w:p w14:paraId="3243D3B6">
      <w:pPr>
        <w:pageBreakBefore w:val="0"/>
        <w:widowControl w:val="0"/>
        <w:numPr>
          <w:ilvl w:val="0"/>
          <w:numId w:val="0"/>
        </w:numPr>
        <w:kinsoku/>
        <w:wordWrap/>
        <w:overflowPunct/>
        <w:topLinePunct w:val="0"/>
        <w:autoSpaceDE/>
        <w:autoSpaceDN/>
        <w:bidi w:val="0"/>
        <w:adjustRightInd/>
        <w:snapToGrid/>
        <w:spacing w:before="120" w:after="120"/>
        <w:textAlignment w:val="auto"/>
        <w:rPr>
          <w:rFonts w:hint="default"/>
          <w:lang w:val="en-US" w:eastAsia="zh-CN"/>
        </w:rPr>
      </w:pPr>
      <w:r>
        <w:rPr>
          <w:rFonts w:hint="eastAsia"/>
          <w:lang w:val="en-US" w:eastAsia="zh-CN"/>
        </w:rPr>
        <w:t>1.</w:t>
      </w:r>
      <w:r>
        <w:rPr>
          <w:rFonts w:hint="default"/>
          <w:lang w:val="en-US" w:eastAsia="zh-CN"/>
        </w:rPr>
        <w:t>The introduction should more critically compare the current green synthesis method with previous approaches, explicitly highlighting the novelty and advantages of this work.</w:t>
      </w:r>
    </w:p>
    <w:p w14:paraId="7A9D4BE9">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2</w:t>
      </w:r>
      <w:r>
        <w:rPr>
          <w:rFonts w:hint="eastAsia"/>
          <w:lang w:val="en-US" w:eastAsia="zh-CN"/>
        </w:rPr>
        <w:t>.</w:t>
      </w:r>
      <w:r>
        <w:rPr>
          <w:rFonts w:hint="default"/>
          <w:lang w:val="en-US" w:eastAsia="zh-CN"/>
        </w:rPr>
        <w:t>The chemical reduction mechanism involving the plant extract and silver ions should be described in detail, including potential oxidation-reduction reactions and key functional groups responsible for nanoparticle formation.</w:t>
      </w:r>
    </w:p>
    <w:p w14:paraId="3903580B">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3</w:t>
      </w:r>
      <w:r>
        <w:rPr>
          <w:rFonts w:hint="eastAsia"/>
          <w:lang w:val="en-US" w:eastAsia="zh-CN"/>
        </w:rPr>
        <w:t>.</w:t>
      </w:r>
      <w:r>
        <w:rPr>
          <w:rFonts w:hint="default"/>
          <w:lang w:val="en-US" w:eastAsia="zh-CN"/>
        </w:rPr>
        <w:t>The SEM analysis requires clearer quantification of particle size distribution (minimum, maximum, and average sizes), preferably labeled directly on the images for better visualization.</w:t>
      </w:r>
    </w:p>
    <w:p w14:paraId="2F9136E1">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4</w:t>
      </w:r>
      <w:r>
        <w:rPr>
          <w:rFonts w:hint="eastAsia"/>
          <w:lang w:val="en-US" w:eastAsia="zh-CN"/>
        </w:rPr>
        <w:t>.</w:t>
      </w:r>
      <w:r>
        <w:rPr>
          <w:rFonts w:hint="default"/>
          <w:lang w:val="en-US" w:eastAsia="zh-CN"/>
        </w:rPr>
        <w:t>All tested samples, including  reference materials and treated ones, should be systematically listed in a table within the experimental section to be better captured by readers.</w:t>
      </w:r>
    </w:p>
    <w:p w14:paraId="69549F03">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5</w:t>
      </w:r>
      <w:r>
        <w:rPr>
          <w:rFonts w:hint="eastAsia"/>
          <w:lang w:val="en-US" w:eastAsia="zh-CN"/>
        </w:rPr>
        <w:t>.</w:t>
      </w:r>
      <w:r>
        <w:rPr>
          <w:rFonts w:hint="default"/>
          <w:lang w:val="en-US" w:eastAsia="zh-CN"/>
        </w:rPr>
        <w:t>The XRD raw data should be included as an image to support the crystallinity claims.</w:t>
      </w:r>
    </w:p>
    <w:p w14:paraId="4EC42E40">
      <w:pPr>
        <w:pageBreakBefore w:val="0"/>
        <w:widowControl w:val="0"/>
        <w:numPr>
          <w:ilvl w:val="0"/>
          <w:numId w:val="0"/>
        </w:numPr>
        <w:kinsoku/>
        <w:wordWrap/>
        <w:overflowPunct/>
        <w:topLinePunct w:val="0"/>
        <w:autoSpaceDE/>
        <w:autoSpaceDN/>
        <w:bidi w:val="0"/>
        <w:adjustRightInd/>
        <w:snapToGrid/>
        <w:spacing w:before="120" w:after="120"/>
        <w:textAlignment w:val="auto"/>
        <w:rPr>
          <w:rFonts w:hint="default"/>
          <w:lang w:val="en-US" w:eastAsia="zh-CN"/>
        </w:rPr>
      </w:pPr>
      <w:r>
        <w:rPr>
          <w:rFonts w:hint="eastAsia"/>
          <w:lang w:val="en-US" w:eastAsia="zh-CN"/>
        </w:rPr>
        <w:t>6.</w:t>
      </w:r>
      <w:r>
        <w:rPr>
          <w:rFonts w:hint="default"/>
          <w:lang w:val="en-US" w:eastAsia="zh-CN"/>
        </w:rPr>
        <w:t>Beyond the observed color change, additional evidence should be provided to confirm the chemical reduction process and rule out mere physical mixing. The manuscript should clarify whether washing steps were performed to remove unreacted precursors, as this could impact the findings.</w:t>
      </w:r>
    </w:p>
    <w:p w14:paraId="45CD5B1A">
      <w:pPr>
        <w:pStyle w:val="6"/>
        <w:pageBreakBefore w:val="0"/>
        <w:widowControl w:val="0"/>
        <w:kinsoku/>
        <w:wordWrap/>
        <w:overflowPunct/>
        <w:topLinePunct w:val="0"/>
        <w:autoSpaceDE/>
        <w:autoSpaceDN/>
        <w:bidi w:val="0"/>
        <w:adjustRightInd/>
        <w:snapToGrid/>
        <w:spacing w:before="120" w:beforeLines="0" w:after="120" w:afterLines="0"/>
        <w:textAlignment w:val="auto"/>
        <w:rPr>
          <w:rFonts w:hint="eastAsia"/>
          <w:lang w:val="en-US" w:eastAsia="zh-CN"/>
        </w:rPr>
      </w:pPr>
      <w:r>
        <w:rPr>
          <w:rFonts w:hint="eastAsia"/>
          <w:lang w:val="en-US" w:eastAsia="zh-CN"/>
        </w:rPr>
        <w:t>Reviewer's Comments C:</w:t>
      </w:r>
    </w:p>
    <w:p w14:paraId="4A7B1CFE">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The article is strong in terms of structure, methodology, and results, and provides useful information on the green synthesis of silver nanoparticles with Vernonia anthelmintica plant extract. By correcting some minor points and adding comparisons with similar articles and discussing the mechanism of action, the scientific value of the article will be increased.</w:t>
      </w:r>
      <w:r>
        <w:rPr>
          <w:rFonts w:hint="default"/>
          <w:lang w:val="en-US" w:eastAsia="zh-CN"/>
        </w:rPr>
        <w:br w:type="textWrapping"/>
      </w:r>
    </w:p>
    <w:p w14:paraId="25577D9E">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 xml:space="preserve">Suggested points for correction </w:t>
      </w:r>
    </w:p>
    <w:p w14:paraId="5B82ADAD">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1</w:t>
      </w:r>
      <w:r>
        <w:rPr>
          <w:rFonts w:hint="eastAsia"/>
          <w:lang w:val="en-US" w:eastAsia="zh-CN"/>
        </w:rPr>
        <w:t>.</w:t>
      </w:r>
      <w:r>
        <w:rPr>
          <w:rFonts w:hint="default"/>
          <w:lang w:val="en-US" w:eastAsia="zh-CN"/>
        </w:rPr>
        <w:t xml:space="preserve">It would be better to explain more about the number of repetitions of experiments and sample size. </w:t>
      </w:r>
    </w:p>
    <w:p w14:paraId="2DC98DD9">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2</w:t>
      </w:r>
      <w:r>
        <w:rPr>
          <w:rFonts w:hint="eastAsia"/>
          <w:lang w:val="en-US" w:eastAsia="zh-CN"/>
        </w:rPr>
        <w:t>.</w:t>
      </w:r>
      <w:r>
        <w:rPr>
          <w:rFonts w:hint="default"/>
          <w:lang w:val="en-US" w:eastAsia="zh-CN"/>
        </w:rPr>
        <w:t xml:space="preserve">Comparing the antimicrobial and antioxidant activity with the results of other studies can enrich the article. </w:t>
      </w:r>
    </w:p>
    <w:p w14:paraId="4BC44517">
      <w:pPr>
        <w:pageBreakBefore w:val="0"/>
        <w:widowControl w:val="0"/>
        <w:kinsoku/>
        <w:wordWrap/>
        <w:overflowPunct/>
        <w:topLinePunct w:val="0"/>
        <w:autoSpaceDE/>
        <w:autoSpaceDN/>
        <w:bidi w:val="0"/>
        <w:adjustRightInd/>
        <w:snapToGrid/>
        <w:spacing w:before="120" w:after="120"/>
        <w:textAlignment w:val="auto"/>
        <w:rPr>
          <w:rFonts w:hint="default"/>
          <w:lang w:val="en-US" w:eastAsia="zh-CN"/>
        </w:rPr>
      </w:pPr>
      <w:r>
        <w:rPr>
          <w:rFonts w:hint="default"/>
          <w:lang w:val="en-US" w:eastAsia="zh-CN"/>
        </w:rPr>
        <w:t>3</w:t>
      </w:r>
      <w:r>
        <w:rPr>
          <w:rFonts w:hint="eastAsia"/>
          <w:lang w:val="en-US" w:eastAsia="zh-CN"/>
        </w:rPr>
        <w:t>.</w:t>
      </w:r>
      <w:r>
        <w:rPr>
          <w:rFonts w:hint="default"/>
          <w:lang w:val="en-US" w:eastAsia="zh-CN"/>
        </w:rPr>
        <w:t>The possible mechanism of antimicrobial activity of silver nanoparticles can be added to the discussion.</w:t>
      </w: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37B237"/>
    <w:multiLevelType w:val="singleLevel"/>
    <w:tmpl w:val="6B37B237"/>
    <w:lvl w:ilvl="0" w:tentative="0">
      <w:start w:val="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704207"/>
    <w:rsid w:val="06D0743C"/>
    <w:rsid w:val="109D1177"/>
    <w:rsid w:val="1C936791"/>
    <w:rsid w:val="243674C1"/>
    <w:rsid w:val="25423C43"/>
    <w:rsid w:val="288F6979"/>
    <w:rsid w:val="28A42356"/>
    <w:rsid w:val="2E986EAE"/>
    <w:rsid w:val="302A5A00"/>
    <w:rsid w:val="3EB5172F"/>
    <w:rsid w:val="4447401A"/>
    <w:rsid w:val="446A6AA8"/>
    <w:rsid w:val="50704207"/>
    <w:rsid w:val="573F005B"/>
    <w:rsid w:val="5DFF3F31"/>
    <w:rsid w:val="6BCE135A"/>
    <w:rsid w:val="6E544C35"/>
    <w:rsid w:val="70B84386"/>
    <w:rsid w:val="73BF77DA"/>
    <w:rsid w:val="74790F63"/>
    <w:rsid w:val="76187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jc w:val="both"/>
    </w:pPr>
    <w:rPr>
      <w:rFonts w:ascii="Times New Roman" w:hAnsi="Times New Roman" w:eastAsia="宋体" w:cs="宋体"/>
      <w:kern w:val="2"/>
      <w:sz w:val="24"/>
      <w:szCs w:val="24"/>
      <w:lang w:val="en-US" w:eastAsia="zh-CN" w:bidi="ar-SA"/>
    </w:rPr>
  </w:style>
  <w:style w:type="paragraph" w:styleId="2">
    <w:name w:val="heading 1"/>
    <w:basedOn w:val="1"/>
    <w:next w:val="1"/>
    <w:link w:val="10"/>
    <w:qFormat/>
    <w:uiPriority w:val="0"/>
    <w:pPr>
      <w:pageBreakBefore/>
      <w:spacing w:before="200" w:beforeLines="200" w:after="200" w:afterLines="200"/>
      <w:jc w:val="center"/>
      <w:outlineLvl w:val="0"/>
    </w:pPr>
    <w:rPr>
      <w:rFonts w:ascii="宋体" w:hAnsi="宋体" w:eastAsia="黑体" w:cs="宋体"/>
      <w:sz w:val="36"/>
    </w:rPr>
  </w:style>
  <w:style w:type="paragraph" w:styleId="3">
    <w:name w:val="heading 2"/>
    <w:basedOn w:val="1"/>
    <w:next w:val="1"/>
    <w:link w:val="9"/>
    <w:semiHidden/>
    <w:unhideWhenUsed/>
    <w:qFormat/>
    <w:uiPriority w:val="0"/>
    <w:pPr>
      <w:spacing w:before="120" w:beforeAutospacing="0" w:after="120" w:afterAutospacing="0"/>
      <w:jc w:val="left"/>
      <w:outlineLvl w:val="1"/>
    </w:pPr>
    <w:rPr>
      <w:rFonts w:ascii="宋体" w:hAnsi="宋体" w:eastAsia="黑体" w:cs="宋体"/>
      <w:kern w:val="0"/>
      <w:sz w:val="30"/>
      <w:szCs w:val="36"/>
    </w:rPr>
  </w:style>
  <w:style w:type="paragraph" w:styleId="4">
    <w:name w:val="heading 4"/>
    <w:basedOn w:val="1"/>
    <w:next w:val="1"/>
    <w:link w:val="12"/>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6">
    <w:name w:val="heading 6"/>
    <w:basedOn w:val="1"/>
    <w:next w:val="1"/>
    <w:link w:val="1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8">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character" w:customStyle="1" w:styleId="9">
    <w:name w:val="标题 2 Char"/>
    <w:basedOn w:val="8"/>
    <w:link w:val="3"/>
    <w:semiHidden/>
    <w:qFormat/>
    <w:uiPriority w:val="9"/>
    <w:rPr>
      <w:rFonts w:ascii="宋体" w:hAnsi="宋体" w:eastAsia="黑体" w:cs="宋体"/>
      <w:bCs/>
      <w:sz w:val="30"/>
      <w:szCs w:val="32"/>
    </w:rPr>
  </w:style>
  <w:style w:type="character" w:customStyle="1" w:styleId="10">
    <w:name w:val="标题 1 Char"/>
    <w:link w:val="2"/>
    <w:qFormat/>
    <w:uiPriority w:val="9"/>
    <w:rPr>
      <w:rFonts w:ascii="宋体" w:hAnsi="宋体" w:eastAsia="黑体" w:cs="宋体"/>
      <w:kern w:val="2"/>
      <w:sz w:val="36"/>
      <w:szCs w:val="28"/>
      <w:lang w:val="en-US" w:eastAsia="zh-CN" w:bidi="ar-SA"/>
    </w:rPr>
  </w:style>
  <w:style w:type="character" w:customStyle="1" w:styleId="11">
    <w:name w:val="标题 6 Char"/>
    <w:link w:val="6"/>
    <w:qFormat/>
    <w:uiPriority w:val="0"/>
    <w:rPr>
      <w:rFonts w:ascii="Arial" w:hAnsi="Arial" w:eastAsia="黑体"/>
      <w:b/>
      <w:sz w:val="24"/>
    </w:rPr>
  </w:style>
  <w:style w:type="character" w:customStyle="1" w:styleId="12">
    <w:name w:val="标题 4 Char"/>
    <w:link w:val="4"/>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836</Words>
  <Characters>5154</Characters>
  <Lines>0</Lines>
  <Paragraphs>0</Paragraphs>
  <TotalTime>0</TotalTime>
  <ScaleCrop>false</ScaleCrop>
  <LinksUpToDate>false</LinksUpToDate>
  <CharactersWithSpaces>5955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2025-06-09T02:00:00Z</dcterms:created>
  <dc:creator>Thor</dc:creator>
  <cp:lastModifiedBy>admin</cp:lastModifiedBy>
  <dcterms:modified xsi:type="dcterms:W3CDTF">2026-04-13T02:38:49Z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DA3FAC639BD3438ABDC829FCD0918A56_11</vt:lpwstr>
  </property>
  <property fmtid="{D5CDD505-2E9C-101B-9397-08002B2CF9AE}" pid="4" name="KSOTemplateDocerSaveRecord">
    <vt:lpwstr>eyJoZGlkIjoiOTU5NDVmYjUzMjMyMDIwNjk2YTUzN2VjMmU1MzhiZWMiLCJ1c2VySWQiOiI5OTI4MTU1MTkifQ==</vt:lpwstr>
  </property>
</Properties>
</file>